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000000" w:rsidRDefault="007C5377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ЗДРАВОСЛОВНИ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БЕЗОПАСНИ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ТРУД</w:t>
      </w:r>
    </w:p>
    <w:p w:rsidR="00000000" w:rsidRDefault="007C5377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Отразена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деноминацията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05.07.1999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7C5377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.100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травматизъм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заболеваемост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мирновременната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неизбежно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модернизацията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избягване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монотонната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нологията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модернизирани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демонтажът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избягване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повдигане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повдигане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избегне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монотонност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чертежите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сериозна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времетраенето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евакуация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евакуация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сериозна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евакуацията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сериозна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сериозна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непредпазливост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здравноосигурителна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националнопредставителните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националнопредставителните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евакуацията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инструктажите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разпокъсаност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травматизъм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заболеваемост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травматизъм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заболеваемост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неразгласяване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апаратите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апаратите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обстановка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тенденциите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91/383/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92/29/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94/33/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83/477/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експозиция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80/1107/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популяризира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семинари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популяризират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семинари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диагностика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благотворителна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диагностика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семинари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4, 5, 6, 7,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1.01.2001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ТРУДА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рофесионално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ОТГОВОРНОСТ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413, 414, 415, 415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благополучие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акустични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лъчеви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йонизиращи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вибрационни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психологически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("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видеодисплеи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гръбначни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26,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20".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ЗОПАСНИ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  <w:t xml:space="preserve">KYM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ХИМИЧНИТЕ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ПРЕПАРАТИ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ПРОДУКТИ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биоцидни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препарати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биоцидни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препарати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ЗДРАВЕТО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ТРУДА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СЧЕТОВОДСТВОТО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БЕЗОПАСНИ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СПЕШНИ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ПОВИКВАНИЯ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ЕДИНЕ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112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48,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2,21, 36, 39, 41, 44, 45, 49, 50, 51, 53, 55, 56, 57, 59, 62, 63, 64, 65,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ЕКСА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ТРУДА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09.11.2010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1 - 23, § 25, § 27 - 30, § 32 - 34, § 40, §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43 - 55, § 63 - 89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91 - 114,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ЗДРАВЕТО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14.12.2010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16, 20, 29, 30, 32, 33, 34, 35, 42, 44, §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65, 68, 70, 76, 80, 81, 90, 92, 96,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4, 5,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§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§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4,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10, 11,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109, 110, 112, 113, §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§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§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§ 37, §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ЛЕКАРСТВЕНИТЕ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ХУМАННАТА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МЕДИЦИНА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48,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58,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18, § 114, § 120, § 121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" 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C5377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Релевантни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законодателство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Директиви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12/18/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96/82/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2009/148/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експозиция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2009/104/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2004/37/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експозицията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канцерогени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мутагени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вариант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2003/105/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96/82/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2003/88/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аспекти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2000/79/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авиокомпании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(ETF),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пилотите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(ECA),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авиокомпании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(ERA)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(IACA)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2000/54/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експозицията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1999/92/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експлозивни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1999/63/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корабособствениците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(ECSA)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(FST)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1999/38/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394/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канцерогени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мутагени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97/42/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90/394/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канцерогени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изтичане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валидността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: 19.5.2004 </w:t>
      </w:r>
      <w:r>
        <w:rPr>
          <w:rFonts w:eastAsia="Times New Roman"/>
          <w:color w:val="FF0000"/>
          <w:highlight w:val="white"/>
          <w:shd w:val="clear" w:color="auto" w:fill="FEFEFE"/>
        </w:rPr>
        <w:t>г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94/33/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93/104/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аспекти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93/103/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92/104/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рудодобива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рудодобива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сондиране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92/85/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кърмачки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92/58/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92/57/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92/29/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91/383/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90/679/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експозиция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90/394/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експозиция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канцерогени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90/270/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90/269/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89/656/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89/655/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89/654/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89/391/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83/477/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експозиция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азбест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80/1107/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lastRenderedPageBreak/>
        <w:t>Решения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C5377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218/01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</w:p>
    <w:p w:rsidR="007C5377" w:rsidRDefault="007C5377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7C5377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A1"/>
    <w:rsid w:val="007C5377"/>
    <w:rsid w:val="008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E92DCD-97AF-4A31-9F3B-7824EE0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h.government.bg/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13828</Words>
  <Characters>78822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2023-03-15T13:26:00Z</dcterms:created>
  <dcterms:modified xsi:type="dcterms:W3CDTF">2023-03-15T13:26:00Z</dcterms:modified>
</cp:coreProperties>
</file>